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Додаток № 3</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 xml:space="preserve">№ </w:t>
      </w:r>
      <w:r w:rsidR="00F17680" w:rsidRPr="007348B9">
        <w:rPr>
          <w:rStyle w:val="FontStyle11"/>
          <w:rFonts w:ascii="Trebuchet MS" w:hAnsi="Trebuchet MS"/>
          <w:u w:val="single"/>
          <w:lang w:eastAsia="uk-UA"/>
        </w:rPr>
        <w:t>8</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 xml:space="preserve">виробництва </w:t>
      </w:r>
      <w:r w:rsidR="00153D99" w:rsidRPr="00071A0A">
        <w:rPr>
          <w:rFonts w:ascii="Trebuchet MS" w:hAnsi="Trebuchet MS"/>
          <w:b/>
          <w:color w:val="000000"/>
          <w:sz w:val="22"/>
          <w:szCs w:val="22"/>
          <w:lang w:val="uk-UA"/>
        </w:rPr>
        <w:t>електропостачальником</w:t>
      </w:r>
    </w:p>
    <w:p w:rsidR="00802C15" w:rsidRDefault="00802C15" w:rsidP="00802C15">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(без установки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w:t>
            </w:r>
            <w:r w:rsidR="00EA210F" w:rsidRPr="00071A0A">
              <w:rPr>
                <w:rFonts w:ascii="Trebuchet MS" w:hAnsi="Trebuchet MS"/>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Непобутові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C46C2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C46C25"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7348B9">
              <w:rPr>
                <w:rFonts w:ascii="Trebuchet MS" w:hAnsi="Trebuchet MS"/>
                <w:sz w:val="20"/>
                <w:szCs w:val="20"/>
                <w:lang w:val="uk-UA"/>
              </w:rPr>
              <w:t>ужності відповідно до договору.</w:t>
            </w:r>
          </w:p>
          <w:p w:rsidR="007348B9" w:rsidRDefault="007348B9"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відібраної електричної енергії (за місяць) (Bн) становить </w:t>
            </w:r>
            <w:r w:rsidR="00C46C25">
              <w:rPr>
                <w:rFonts w:ascii="Trebuchet MS" w:hAnsi="Trebuchet MS"/>
                <w:b/>
                <w:sz w:val="20"/>
                <w:szCs w:val="20"/>
                <w:lang w:val="uk-UA"/>
              </w:rPr>
              <w:t>25,74</w:t>
            </w:r>
            <w:r w:rsidRPr="007348B9">
              <w:rPr>
                <w:rFonts w:ascii="Trebuchet MS" w:hAnsi="Trebuchet MS"/>
                <w:b/>
                <w:sz w:val="20"/>
                <w:szCs w:val="20"/>
                <w:lang w:val="uk-UA"/>
              </w:rPr>
              <w:t xml:space="preserve"> грн,</w:t>
            </w:r>
            <w:r w:rsidRPr="007348B9">
              <w:rPr>
                <w:rStyle w:val="FontStyle12"/>
                <w:lang w:val="uk-UA"/>
              </w:rPr>
              <w:t xml:space="preserve"> </w:t>
            </w:r>
            <w:r w:rsidRPr="007348B9">
              <w:rPr>
                <w:rFonts w:ascii="Trebuchet MS" w:hAnsi="Trebuchet MS"/>
                <w:sz w:val="20"/>
                <w:szCs w:val="20"/>
              </w:rPr>
              <w:t xml:space="preserve">в тому числі ПДВ </w:t>
            </w:r>
            <w:r w:rsidR="00C46C25">
              <w:rPr>
                <w:rFonts w:ascii="Trebuchet MS" w:hAnsi="Trebuchet MS"/>
                <w:sz w:val="20"/>
                <w:szCs w:val="20"/>
                <w:lang w:val="uk-UA"/>
              </w:rPr>
              <w:t>4,29</w:t>
            </w:r>
            <w:r w:rsidRPr="007348B9">
              <w:rPr>
                <w:rFonts w:ascii="Trebuchet MS" w:hAnsi="Trebuchet MS"/>
                <w:sz w:val="20"/>
                <w:szCs w:val="20"/>
              </w:rPr>
              <w:t xml:space="preserve"> грн., за 1 кВт*год.</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16"/>
                <w:szCs w:val="16"/>
                <w:lang w:val="uk-UA"/>
              </w:rPr>
            </w:pPr>
          </w:p>
          <w:p w:rsidR="005200D1" w:rsidRPr="007348B9" w:rsidRDefault="005200D1" w:rsidP="00EF0D7E">
            <w:pPr>
              <w:autoSpaceDE w:val="0"/>
              <w:autoSpaceDN w:val="0"/>
              <w:adjustRightInd w:val="0"/>
              <w:jc w:val="center"/>
              <w:rPr>
                <w:rFonts w:ascii="Trebuchet MS" w:hAnsi="Trebuchet MS"/>
                <w:sz w:val="20"/>
                <w:szCs w:val="20"/>
              </w:rPr>
            </w:pPr>
            <w:r w:rsidRPr="007348B9">
              <w:rPr>
                <w:rFonts w:ascii="Trebuchet MS" w:hAnsi="Trebuchet MS"/>
                <w:sz w:val="20"/>
                <w:szCs w:val="20"/>
              </w:rPr>
              <w:t>Bн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н</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Ц</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(2)</w:t>
            </w:r>
          </w:p>
          <w:p w:rsidR="005200D1" w:rsidRPr="007348B9" w:rsidRDefault="005200D1" w:rsidP="00EF0D7E">
            <w:pPr>
              <w:autoSpaceDE w:val="0"/>
              <w:autoSpaceDN w:val="0"/>
              <w:adjustRightInd w:val="0"/>
              <w:jc w:val="both"/>
              <w:rPr>
                <w:rFonts w:ascii="Trebuchet MS" w:hAnsi="Trebuchet MS"/>
                <w:sz w:val="20"/>
                <w:szCs w:val="20"/>
              </w:rPr>
            </w:pPr>
          </w:p>
          <w:p w:rsidR="005200D1" w:rsidRPr="007348B9" w:rsidRDefault="005200D1" w:rsidP="00EF0D7E">
            <w:pPr>
              <w:pStyle w:val="2"/>
              <w:shd w:val="clear" w:color="auto" w:fill="FFFFFF"/>
              <w:spacing w:before="0"/>
              <w:rPr>
                <w:rFonts w:ascii="Trebuchet MS" w:hAnsi="Trebuchet MS" w:cs="Times New Roman"/>
                <w:b/>
                <w:sz w:val="20"/>
                <w:szCs w:val="20"/>
              </w:rPr>
            </w:pPr>
            <w:r w:rsidRPr="007348B9">
              <w:rPr>
                <w:rFonts w:ascii="Trebuchet MS" w:hAnsi="Trebuchet MS" w:cs="Times New Roman"/>
                <w:b/>
                <w:i/>
                <w:sz w:val="20"/>
                <w:szCs w:val="20"/>
              </w:rPr>
              <w:t xml:space="preserve">де </w:t>
            </w:r>
            <w:r w:rsidRPr="007348B9">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7348B9" w:rsidRDefault="005200D1" w:rsidP="00EF0D7E">
            <w:pPr>
              <w:autoSpaceDE w:val="0"/>
              <w:autoSpaceDN w:val="0"/>
              <w:adjustRightInd w:val="0"/>
              <w:jc w:val="both"/>
              <w:rPr>
                <w:rFonts w:ascii="Trebuchet MS" w:hAnsi="Trebuchet MS"/>
                <w:sz w:val="20"/>
                <w:szCs w:val="20"/>
              </w:rPr>
            </w:pPr>
            <w:r w:rsidRPr="007348B9">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 xml:space="preserve"> – ціна РДН k − ої години, j − ої доби</w:t>
            </w:r>
            <w:r w:rsidRPr="007348B9">
              <w:rPr>
                <w:rFonts w:ascii="Trebuchet MS" w:hAnsi="Trebuchet MS"/>
                <w:color w:val="000000"/>
                <w:sz w:val="20"/>
                <w:szCs w:val="20"/>
              </w:rPr>
              <w:t>, що склалися на ринку «на добу наперед» (РДН);</w:t>
            </w:r>
          </w:p>
          <w:p w:rsidR="005200D1" w:rsidRPr="007348B9" w:rsidRDefault="00C46C25"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7348B9">
              <w:rPr>
                <w:rFonts w:ascii="Trebuchet MS" w:hAnsi="Trebuchet MS"/>
                <w:sz w:val="20"/>
                <w:szCs w:val="20"/>
              </w:rPr>
              <w:t xml:space="preserve"> – тариф на розподіл</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C46C25"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7348B9">
              <w:rPr>
                <w:rFonts w:ascii="Trebuchet MS" w:hAnsi="Trebuchet MS"/>
                <w:sz w:val="20"/>
                <w:szCs w:val="20"/>
              </w:rPr>
              <w:t xml:space="preserve"> – тариф на передачу</w:t>
            </w:r>
            <w:r w:rsidR="00D36812" w:rsidRPr="007348B9">
              <w:rPr>
                <w:rFonts w:ascii="Trebuchet MS" w:hAnsi="Trebuchet MS"/>
                <w:sz w:val="20"/>
                <w:szCs w:val="20"/>
                <w:lang w:val="uk-UA"/>
              </w:rPr>
              <w:t xml:space="preserve"> згідно з відповідною Постановою НКРЕКП</w:t>
            </w:r>
            <w:r w:rsidR="005200D1" w:rsidRPr="007348B9">
              <w:rPr>
                <w:rFonts w:ascii="Trebuchet MS" w:hAnsi="Trebuchet MS"/>
                <w:sz w:val="20"/>
                <w:szCs w:val="20"/>
              </w:rPr>
              <w:t>;</w:t>
            </w:r>
          </w:p>
          <w:p w:rsidR="005200D1" w:rsidRPr="007348B9" w:rsidRDefault="00C46C25"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8D7B76"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005200D1"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5200D1" w:rsidRPr="007348B9">
              <w:rPr>
                <w:rFonts w:ascii="Trebuchet MS" w:hAnsi="Trebuchet MS"/>
                <w:sz w:val="20"/>
                <w:szCs w:val="20"/>
              </w:rPr>
              <w:t xml:space="preserve"> - 0,30 грн, вартість послуг Постачальника</w:t>
            </w:r>
            <w:r w:rsidR="00226707"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Ціна </w:t>
            </w:r>
            <w:r w:rsidRPr="007348B9">
              <w:rPr>
                <w:rFonts w:ascii="Trebuchet MS" w:hAnsi="Trebuchet MS"/>
                <w:sz w:val="20"/>
                <w:szCs w:val="20"/>
              </w:rPr>
              <w:t xml:space="preserve">відпущеної електричної енергії за місяць </w:t>
            </w:r>
            <w:r w:rsidRPr="007348B9">
              <w:rPr>
                <w:rFonts w:ascii="Trebuchet MS" w:hAnsi="Trebuchet MS"/>
                <w:sz w:val="20"/>
                <w:szCs w:val="20"/>
                <w:lang w:val="uk-UA"/>
              </w:rPr>
              <w:t xml:space="preserve">становить </w:t>
            </w:r>
            <w:r w:rsidR="00C46C25">
              <w:rPr>
                <w:rFonts w:ascii="Trebuchet MS" w:hAnsi="Trebuchet MS"/>
                <w:b/>
                <w:sz w:val="20"/>
                <w:szCs w:val="20"/>
                <w:lang w:val="uk-UA"/>
              </w:rPr>
              <w:t>17,10</w:t>
            </w:r>
            <w:r w:rsidRPr="007348B9">
              <w:rPr>
                <w:rFonts w:ascii="Trebuchet MS" w:hAnsi="Trebuchet MS"/>
                <w:sz w:val="20"/>
                <w:szCs w:val="20"/>
                <w:lang w:val="uk-UA"/>
              </w:rPr>
              <w:t xml:space="preserve"> </w:t>
            </w:r>
            <w:r w:rsidRPr="007348B9">
              <w:rPr>
                <w:rFonts w:ascii="Trebuchet MS" w:hAnsi="Trebuchet MS"/>
                <w:b/>
                <w:sz w:val="20"/>
                <w:szCs w:val="20"/>
                <w:lang w:val="uk-UA"/>
              </w:rPr>
              <w:t>грн,</w:t>
            </w:r>
            <w:r w:rsidRPr="007348B9">
              <w:rPr>
                <w:rStyle w:val="FontStyle12"/>
                <w:lang w:val="uk-UA"/>
              </w:rPr>
              <w:t xml:space="preserve"> </w:t>
            </w:r>
            <w:r w:rsidRPr="007348B9">
              <w:rPr>
                <w:rFonts w:ascii="Trebuchet MS" w:hAnsi="Trebuchet MS"/>
                <w:sz w:val="20"/>
                <w:szCs w:val="20"/>
              </w:rPr>
              <w:t xml:space="preserve">в тому числі ПДВ </w:t>
            </w:r>
            <w:r w:rsidR="00C46C25">
              <w:rPr>
                <w:rFonts w:ascii="Trebuchet MS" w:hAnsi="Trebuchet MS"/>
                <w:sz w:val="20"/>
                <w:szCs w:val="20"/>
                <w:lang w:val="uk-UA"/>
              </w:rPr>
              <w:t>2,85</w:t>
            </w:r>
            <w:r w:rsidRPr="007348B9">
              <w:rPr>
                <w:rFonts w:ascii="Trebuchet MS" w:hAnsi="Trebuchet MS"/>
                <w:sz w:val="20"/>
                <w:szCs w:val="20"/>
              </w:rPr>
              <w:t xml:space="preserve"> грн., за 1 кВт*год.</w:t>
            </w:r>
          </w:p>
          <w:p w:rsidR="007348B9" w:rsidRPr="007348B9" w:rsidRDefault="007348B9" w:rsidP="007348B9">
            <w:pPr>
              <w:autoSpaceDE w:val="0"/>
              <w:autoSpaceDN w:val="0"/>
              <w:adjustRightInd w:val="0"/>
              <w:jc w:val="both"/>
              <w:rPr>
                <w:rFonts w:ascii="Trebuchet MS" w:hAnsi="Trebuchet MS"/>
                <w:sz w:val="20"/>
                <w:szCs w:val="20"/>
                <w:lang w:val="uk-UA"/>
              </w:rPr>
            </w:pPr>
          </w:p>
          <w:p w:rsidR="007348B9" w:rsidRPr="007348B9" w:rsidRDefault="007348B9" w:rsidP="007348B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7348B9">
              <w:rPr>
                <w:rFonts w:ascii="Trebuchet MS" w:hAnsi="Trebuchet MS"/>
                <w:b/>
                <w:sz w:val="20"/>
                <w:szCs w:val="20"/>
                <w:lang w:val="uk-UA"/>
              </w:rPr>
              <w:t>Примітка.</w:t>
            </w:r>
            <w:r w:rsidRPr="007348B9">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7348B9">
              <w:rPr>
                <w:rFonts w:ascii="Trebuchet MS" w:hAnsi="Trebuchet MS"/>
                <w:i/>
                <w:iCs/>
                <w:sz w:val="20"/>
                <w:szCs w:val="20"/>
                <w:lang w:val="uk-UA"/>
              </w:rPr>
              <w:t xml:space="preserve">Розрахункового місяця </w:t>
            </w:r>
            <w:r w:rsidRPr="007348B9">
              <w:rPr>
                <w:rFonts w:ascii="Trebuchet MS" w:hAnsi="Trebuchet MS"/>
                <w:sz w:val="20"/>
                <w:szCs w:val="20"/>
                <w:lang w:val="uk-UA"/>
              </w:rPr>
              <w:t xml:space="preserve">та визначається за формулою </w:t>
            </w:r>
            <w:r w:rsidRPr="007348B9">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7348B9">
              <w:rPr>
                <w:rFonts w:ascii="Trebuchet MS" w:hAnsi="Trebuchet MS"/>
                <w:sz w:val="20"/>
                <w:szCs w:val="20"/>
                <w:lang w:val="uk-UA"/>
              </w:rPr>
              <w:t>:</w:t>
            </w:r>
          </w:p>
          <w:p w:rsidR="005200D1" w:rsidRPr="007348B9" w:rsidRDefault="005200D1" w:rsidP="00EF0D7E">
            <w:pPr>
              <w:autoSpaceDE w:val="0"/>
              <w:autoSpaceDN w:val="0"/>
              <w:adjustRightInd w:val="0"/>
              <w:jc w:val="both"/>
              <w:rPr>
                <w:rFonts w:ascii="Trebuchet MS" w:hAnsi="Trebuchet MS"/>
                <w:sz w:val="20"/>
                <w:szCs w:val="20"/>
                <w:lang w:val="uk-UA"/>
              </w:rPr>
            </w:pPr>
          </w:p>
          <w:p w:rsidR="005200D1" w:rsidRPr="007348B9"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7348B9">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7348B9">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7348B9">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7348B9">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w:r w:rsidR="008D7B76" w:rsidRPr="007348B9">
              <w:rPr>
                <w:rFonts w:ascii="Trebuchet MS" w:hAnsi="Trebuchet MS"/>
                <w:sz w:val="20"/>
                <w:szCs w:val="20"/>
              </w:rPr>
              <w:fldChar w:fldCharType="begin"/>
            </w:r>
            <w:r w:rsidRPr="007348B9">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7348B9">
              <w:rPr>
                <w:rFonts w:ascii="Trebuchet MS" w:hAnsi="Trebuchet MS"/>
                <w:sz w:val="20"/>
                <w:szCs w:val="20"/>
              </w:rPr>
              <w:instrText xml:space="preserve"> </w:instrText>
            </w:r>
            <w:r w:rsidR="008D7B76" w:rsidRPr="007348B9">
              <w:rPr>
                <w:rFonts w:ascii="Trebuchet MS" w:hAnsi="Trebuchet MS"/>
                <w:sz w:val="20"/>
                <w:szCs w:val="20"/>
              </w:rPr>
              <w:fldChar w:fldCharType="end"/>
            </w:r>
            <m:oMath>
              <m:r>
                <w:rPr>
                  <w:rFonts w:ascii="Cambria Math" w:hAnsi="Cambria Math"/>
                  <w:sz w:val="20"/>
                  <w:szCs w:val="20"/>
                </w:rPr>
                <m:t xml:space="preserve"> </m:t>
              </m:r>
            </m:oMath>
            <w:r w:rsidRPr="007348B9">
              <w:rPr>
                <w:rFonts w:ascii="Trebuchet MS" w:hAnsi="Trebuchet MS"/>
                <w:sz w:val="20"/>
                <w:szCs w:val="20"/>
              </w:rPr>
              <w:t>, (3)</w:t>
            </w:r>
          </w:p>
          <w:p w:rsidR="005200D1" w:rsidRPr="007348B9" w:rsidRDefault="005200D1" w:rsidP="00EF0D7E">
            <w:pPr>
              <w:autoSpaceDE w:val="0"/>
              <w:autoSpaceDN w:val="0"/>
              <w:adjustRightInd w:val="0"/>
              <w:rPr>
                <w:rFonts w:ascii="Trebuchet MS" w:hAnsi="Trebuchet MS"/>
                <w:sz w:val="20"/>
                <w:szCs w:val="20"/>
              </w:rPr>
            </w:pPr>
          </w:p>
          <w:p w:rsidR="00F853FB" w:rsidRPr="007348B9" w:rsidRDefault="00F853FB" w:rsidP="00F853FB">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7348B9">
              <w:rPr>
                <w:rFonts w:ascii="Trebuchet MS" w:hAnsi="Trebuchet MS"/>
                <w:sz w:val="20"/>
                <w:szCs w:val="20"/>
                <w:lang w:val="uk-UA"/>
              </w:rPr>
              <w:t xml:space="preserve"> – ціна РДН k−ої години, j − ої доби,</w:t>
            </w:r>
            <w:r w:rsidRPr="007348B9">
              <w:rPr>
                <w:rFonts w:ascii="Trebuchet MS" w:hAnsi="Trebuchet MS"/>
                <w:color w:val="000000"/>
                <w:sz w:val="20"/>
                <w:szCs w:val="20"/>
                <w:lang w:val="uk-UA"/>
              </w:rPr>
              <w:t xml:space="preserve"> що склалися на ринку «на добу наперед» (РДН)</w:t>
            </w:r>
            <w:r w:rsidRPr="007348B9">
              <w:rPr>
                <w:rFonts w:ascii="Trebuchet MS" w:hAnsi="Trebuchet MS"/>
                <w:sz w:val="20"/>
                <w:szCs w:val="20"/>
                <w:lang w:val="uk-UA"/>
              </w:rPr>
              <w:t>;</w:t>
            </w:r>
          </w:p>
          <w:p w:rsidR="00F853FB" w:rsidRPr="007348B9" w:rsidRDefault="00C46C25"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7348B9">
              <w:rPr>
                <w:rFonts w:ascii="Trebuchet MS" w:hAnsi="Trebuchet MS"/>
                <w:iCs/>
                <w:sz w:val="20"/>
                <w:szCs w:val="20"/>
                <w:vertAlign w:val="subscript"/>
                <w:lang w:val="uk-UA"/>
              </w:rPr>
              <w:t xml:space="preserve"> – </w:t>
            </w:r>
            <w:r w:rsidR="00F853FB" w:rsidRPr="007348B9">
              <w:rPr>
                <w:rFonts w:ascii="Trebuchet MS" w:hAnsi="Trebuchet MS"/>
                <w:color w:val="000000"/>
                <w:sz w:val="20"/>
                <w:szCs w:val="20"/>
                <w:lang w:val="uk-UA"/>
              </w:rPr>
              <w:t>коефіцієнт Постачальника</w:t>
            </w:r>
            <w:r w:rsidR="00F853FB" w:rsidRPr="007348B9">
              <w:rPr>
                <w:rFonts w:ascii="Trebuchet MS" w:hAnsi="Trebuchet MS"/>
                <w:iCs/>
                <w:sz w:val="20"/>
                <w:szCs w:val="20"/>
                <w:vertAlign w:val="subscript"/>
                <w:lang w:val="uk-UA"/>
              </w:rPr>
              <w:t xml:space="preserve">, </w:t>
            </w:r>
            <w:r w:rsidR="00F853FB" w:rsidRPr="007348B9">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7348B9">
              <w:rPr>
                <w:rFonts w:ascii="Trebuchet MS" w:hAnsi="Trebuchet MS"/>
                <w:sz w:val="20"/>
                <w:szCs w:val="20"/>
                <w:lang w:val="uk-UA"/>
              </w:rPr>
              <w:t>у k−ій годині, j − ої доби</w:t>
            </w:r>
            <w:r w:rsidR="00F853FB" w:rsidRPr="007348B9">
              <w:rPr>
                <w:rFonts w:ascii="Trebuchet MS" w:hAnsi="Trebuchet MS"/>
                <w:color w:val="000000"/>
                <w:sz w:val="20"/>
                <w:szCs w:val="20"/>
                <w:lang w:val="uk-UA"/>
              </w:rPr>
              <w:t>;</w:t>
            </w:r>
          </w:p>
          <w:p w:rsidR="00B867B0" w:rsidRPr="007348B9" w:rsidRDefault="00C46C25"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7348B9">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7348B9" w:rsidRDefault="00F853FB" w:rsidP="00F853FB">
            <w:pPr>
              <w:autoSpaceDE w:val="0"/>
              <w:autoSpaceDN w:val="0"/>
              <w:adjustRightInd w:val="0"/>
              <w:jc w:val="both"/>
              <w:rPr>
                <w:rFonts w:ascii="Trebuchet MS" w:hAnsi="Trebuchet MS"/>
                <w:sz w:val="20"/>
                <w:szCs w:val="20"/>
                <w:lang w:val="uk-UA"/>
              </w:rPr>
            </w:pPr>
          </w:p>
          <w:p w:rsidR="00D36812" w:rsidRPr="007348B9" w:rsidRDefault="00D36812" w:rsidP="00D36812">
            <w:pPr>
              <w:autoSpaceDE w:val="0"/>
              <w:autoSpaceDN w:val="0"/>
              <w:adjustRightInd w:val="0"/>
              <w:jc w:val="both"/>
              <w:rPr>
                <w:rFonts w:ascii="Trebuchet MS" w:hAnsi="Trebuchet MS"/>
                <w:sz w:val="20"/>
                <w:szCs w:val="20"/>
              </w:rPr>
            </w:pPr>
            <w:r w:rsidRPr="007348B9">
              <w:rPr>
                <w:rFonts w:ascii="Trebuchet MS" w:hAnsi="Trebuchet MS"/>
                <w:sz w:val="20"/>
                <w:szCs w:val="20"/>
                <w:lang w:val="uk-UA"/>
              </w:rPr>
              <w:t xml:space="preserve">Остаточна ціна </w:t>
            </w:r>
            <w:r w:rsidRPr="007348B9">
              <w:rPr>
                <w:rFonts w:ascii="Trebuchet MS" w:hAnsi="Trebuchet MS"/>
                <w:sz w:val="20"/>
                <w:szCs w:val="20"/>
              </w:rPr>
              <w:t>відпущеної електричної енергії визначається за формулою:</w:t>
            </w:r>
          </w:p>
          <w:p w:rsidR="00D36812" w:rsidRPr="007348B9" w:rsidRDefault="00C46C25"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7348B9" w:rsidRDefault="00D36812" w:rsidP="00D36812">
            <w:pPr>
              <w:autoSpaceDE w:val="0"/>
              <w:autoSpaceDN w:val="0"/>
              <w:adjustRightInd w:val="0"/>
              <w:jc w:val="both"/>
              <w:rPr>
                <w:rFonts w:ascii="Trebuchet MS" w:hAnsi="Trebuchet MS"/>
                <w:sz w:val="20"/>
                <w:szCs w:val="20"/>
                <w:lang w:val="uk-UA"/>
              </w:rPr>
            </w:pPr>
            <w:r w:rsidRPr="007348B9">
              <w:rPr>
                <w:rFonts w:ascii="Trebuchet MS" w:hAnsi="Trebuchet MS"/>
                <w:sz w:val="20"/>
                <w:szCs w:val="20"/>
                <w:lang w:val="uk-UA"/>
              </w:rPr>
              <w:t>де:</w:t>
            </w:r>
          </w:p>
          <w:p w:rsidR="00D36812" w:rsidRPr="007348B9" w:rsidRDefault="00C46C25"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7348B9">
              <w:rPr>
                <w:rFonts w:ascii="Trebuchet MS" w:hAnsi="Trebuchet MS"/>
                <w:sz w:val="20"/>
                <w:szCs w:val="20"/>
                <w:lang w:val="uk-UA"/>
              </w:rPr>
              <w:t xml:space="preserve"> - </w:t>
            </w:r>
            <w:r w:rsidR="00BF394F" w:rsidRPr="007348B9">
              <w:rPr>
                <w:rFonts w:ascii="Trebuchet MS" w:hAnsi="Trebuchet MS"/>
                <w:sz w:val="20"/>
                <w:szCs w:val="20"/>
                <w:lang w:val="uk-UA"/>
              </w:rPr>
              <w:t>в</w:t>
            </w:r>
            <w:r w:rsidR="00D36812" w:rsidRPr="007348B9">
              <w:rPr>
                <w:rFonts w:ascii="Trebuchet MS" w:hAnsi="Trebuchet MS"/>
                <w:sz w:val="20"/>
                <w:szCs w:val="20"/>
              </w:rPr>
              <w:t>артість відпущеної електричної енергії за місяць</w:t>
            </w:r>
            <w:r w:rsidR="00D36812" w:rsidRPr="007348B9">
              <w:rPr>
                <w:rFonts w:ascii="Trebuchet MS" w:hAnsi="Trebuchet MS"/>
                <w:sz w:val="20"/>
                <w:szCs w:val="20"/>
                <w:lang w:val="uk-UA"/>
              </w:rPr>
              <w:t>,</w:t>
            </w:r>
          </w:p>
          <w:p w:rsidR="00D36812" w:rsidRPr="00071A0A" w:rsidRDefault="00C46C25"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7348B9">
              <w:rPr>
                <w:rFonts w:ascii="Trebuchet MS" w:hAnsi="Trebuchet MS"/>
                <w:sz w:val="20"/>
                <w:szCs w:val="20"/>
                <w:lang w:val="uk-UA"/>
              </w:rPr>
              <w:t xml:space="preserve"> - Обсяг електричної енергії відпущеної в мережу ОСР</w:t>
            </w:r>
            <w:r w:rsidR="008A3377" w:rsidRPr="007348B9">
              <w:rPr>
                <w:rFonts w:ascii="Trebuchet MS" w:hAnsi="Trebuchet MS"/>
                <w:sz w:val="20"/>
                <w:szCs w:val="20"/>
                <w:lang w:val="uk-UA"/>
              </w:rPr>
              <w:t xml:space="preserve"> на рівні встановленої потужності відповідно до договору</w:t>
            </w:r>
            <w:r w:rsidR="00D36812" w:rsidRPr="007348B9">
              <w:rPr>
                <w:rFonts w:ascii="Trebuchet MS" w:hAnsi="Trebuchet MS"/>
                <w:sz w:val="20"/>
                <w:szCs w:val="20"/>
                <w:lang w:val="uk-UA"/>
              </w:rPr>
              <w:t>,</w:t>
            </w:r>
          </w:p>
          <w:p w:rsidR="00D36812" w:rsidRPr="00071A0A" w:rsidRDefault="00C46C25"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C46C25"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C46C25"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1"/>
              <w:widowControl/>
              <w:spacing w:line="240" w:lineRule="auto"/>
              <w:ind w:firstLine="5"/>
              <w:rPr>
                <w:rStyle w:val="FontStyle12"/>
                <w:rFonts w:ascii="Trebuchet MS" w:hAnsi="Trebuchet MS"/>
                <w:sz w:val="20"/>
                <w:szCs w:val="20"/>
                <w:lang w:val="uk-UA" w:eastAsia="uk-UA"/>
              </w:rPr>
            </w:pPr>
            <w:r w:rsidRPr="00071A0A">
              <w:rPr>
                <w:rFonts w:ascii="Trebuchet MS" w:hAnsi="Trebuchet MS"/>
                <w:sz w:val="20"/>
                <w:szCs w:val="20"/>
              </w:rPr>
              <w:t>Не обмежена</w:t>
            </w:r>
            <w:r w:rsidRPr="00071A0A">
              <w:rPr>
                <w:rFonts w:ascii="Trebuchet MS" w:hAnsi="Trebuchet MS"/>
                <w:sz w:val="20"/>
                <w:szCs w:val="20"/>
                <w:lang w:val="uk-UA"/>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011EC0">
            <w:pPr>
              <w:jc w:val="both"/>
              <w:rPr>
                <w:rFonts w:ascii="Trebuchet MS" w:hAnsi="Trebuchet MS"/>
                <w:color w:val="000000"/>
                <w:sz w:val="20"/>
                <w:szCs w:val="20"/>
              </w:rPr>
            </w:pPr>
            <w:r w:rsidRPr="00071A0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C46C25"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afa"/>
              <w:spacing w:before="0" w:after="0"/>
              <w:jc w:val="both"/>
              <w:rPr>
                <w:rFonts w:ascii="Trebuchet MS" w:hAnsi="Trebuchet MS"/>
                <w:sz w:val="20"/>
                <w:szCs w:val="20"/>
                <w:lang w:val="uk-UA"/>
              </w:rPr>
            </w:pPr>
            <w:r w:rsidRPr="00071A0A">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71A0A">
              <w:rPr>
                <w:rFonts w:ascii="Trebuchet MS" w:hAnsi="Trebuchet MS"/>
                <w:color w:val="000000"/>
                <w:sz w:val="20"/>
                <w:szCs w:val="20"/>
                <w:lang w:val="uk-UA"/>
              </w:rPr>
              <w:t xml:space="preserve">про надання послуг з розподілу (передачі) електричної енергії, </w:t>
            </w:r>
            <w:r w:rsidRPr="00071A0A">
              <w:rPr>
                <w:rFonts w:ascii="Trebuchet MS" w:hAnsi="Trebuchet MS"/>
                <w:color w:val="000000"/>
                <w:sz w:val="20"/>
                <w:szCs w:val="20"/>
                <w:lang w:val="uk-UA"/>
              </w:rPr>
              <w:lastRenderedPageBreak/>
              <w:t>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lastRenderedPageBreak/>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aff2"/>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BF41BA" w:rsidRPr="00071A0A" w:rsidRDefault="00BF41BA" w:rsidP="00EF0D7E">
            <w:pPr>
              <w:pStyle w:val="aff2"/>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071A0A">
              <w:rPr>
                <w:rFonts w:ascii="Trebuchet MS" w:hAnsi="Trebuchet MS"/>
                <w:sz w:val="20"/>
                <w:szCs w:val="20"/>
                <w:lang w:val="uk-UA"/>
              </w:rPr>
              <w:t xml:space="preserve">15 </w:t>
            </w:r>
            <w:r w:rsidRPr="00071A0A">
              <w:rPr>
                <w:rFonts w:ascii="Trebuchet MS" w:hAnsi="Trebuchet MS"/>
                <w:sz w:val="20"/>
                <w:szCs w:val="20"/>
                <w:lang w:val="uk-UA"/>
              </w:rPr>
              <w:t>числа місяця, наступного місяця за розрахунковим.</w:t>
            </w:r>
          </w:p>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BF41BA" w:rsidRPr="00071A0A" w:rsidRDefault="00BF41BA" w:rsidP="00EF0D7E">
            <w:pPr>
              <w:jc w:val="both"/>
              <w:rPr>
                <w:rFonts w:ascii="Trebuchet MS" w:hAnsi="Trebuchet MS"/>
                <w:color w:val="000000"/>
                <w:sz w:val="20"/>
                <w:szCs w:val="20"/>
                <w:lang w:val="uk-UA"/>
              </w:rPr>
            </w:pPr>
            <w:r w:rsidRPr="00071A0A">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C46C25" w:rsidP="00EF0D7E">
            <w:pPr>
              <w:jc w:val="both"/>
              <w:rPr>
                <w:rFonts w:ascii="Trebuchet MS" w:hAnsi="Trebuchet MS"/>
                <w:sz w:val="20"/>
                <w:szCs w:val="20"/>
                <w:lang w:val="uk-UA"/>
              </w:rPr>
            </w:pPr>
            <w:r>
              <w:rPr>
                <w:rFonts w:ascii="Trebuchet MS" w:hAnsi="Trebuchet MS"/>
                <w:sz w:val="20"/>
                <w:szCs w:val="20"/>
                <w:lang w:val="uk-UA"/>
              </w:rPr>
              <w:t>Договір діє до 31 грудня 2026</w:t>
            </w:r>
            <w:bookmarkStart w:id="0" w:name="_GoBack"/>
            <w:bookmarkEnd w:id="0"/>
            <w:r w:rsidR="00BF41BA"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w:t>
            </w:r>
            <w:r w:rsidRPr="00071A0A">
              <w:rPr>
                <w:rFonts w:ascii="Trebuchet MS" w:hAnsi="Trebuchet MS"/>
                <w:sz w:val="20"/>
                <w:szCs w:val="20"/>
                <w:lang w:val="uk-UA"/>
              </w:rPr>
              <w:lastRenderedPageBreak/>
              <w:t>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r w:rsidRPr="00071A0A">
              <w:rPr>
                <w:rFonts w:ascii="Trebuchet MS" w:hAnsi="Trebuchet MS"/>
                <w:b/>
                <w:sz w:val="22"/>
                <w:szCs w:val="22"/>
              </w:rPr>
              <w:t>Постачальник:</w:t>
            </w:r>
          </w:p>
          <w:p w:rsidR="00311A95" w:rsidRPr="00071A0A" w:rsidRDefault="00311A95" w:rsidP="00C24AA4">
            <w:pPr>
              <w:rPr>
                <w:rFonts w:ascii="Trebuchet MS" w:hAnsi="Trebuchet MS"/>
                <w:b/>
              </w:rPr>
            </w:pPr>
            <w:r w:rsidRPr="00071A0A">
              <w:rPr>
                <w:rFonts w:ascii="Trebuchet MS" w:hAnsi="Trebuchet MS"/>
                <w:b/>
                <w:sz w:val="22"/>
                <w:szCs w:val="22"/>
              </w:rPr>
              <w:t>ТОВ «ЕНЕРА»</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FD" w:rsidRDefault="006664FD">
      <w:r>
        <w:separator/>
      </w:r>
    </w:p>
  </w:endnote>
  <w:endnote w:type="continuationSeparator" w:id="0">
    <w:p w:rsidR="006664FD" w:rsidRDefault="0066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FD" w:rsidRDefault="006664FD">
      <w:r>
        <w:separator/>
      </w:r>
    </w:p>
  </w:footnote>
  <w:footnote w:type="continuationSeparator" w:id="0">
    <w:p w:rsidR="006664FD" w:rsidRDefault="00666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56166"/>
    <w:rsid w:val="00071A0A"/>
    <w:rsid w:val="00077046"/>
    <w:rsid w:val="000776AA"/>
    <w:rsid w:val="000817FE"/>
    <w:rsid w:val="000A21E6"/>
    <w:rsid w:val="000C10AC"/>
    <w:rsid w:val="000E25D7"/>
    <w:rsid w:val="000E3A30"/>
    <w:rsid w:val="000E4126"/>
    <w:rsid w:val="000F2350"/>
    <w:rsid w:val="000F320E"/>
    <w:rsid w:val="00106215"/>
    <w:rsid w:val="00106A8F"/>
    <w:rsid w:val="00113DFE"/>
    <w:rsid w:val="0012673E"/>
    <w:rsid w:val="0013216D"/>
    <w:rsid w:val="001342ED"/>
    <w:rsid w:val="00142CB0"/>
    <w:rsid w:val="00153D99"/>
    <w:rsid w:val="00177877"/>
    <w:rsid w:val="00192F08"/>
    <w:rsid w:val="00196640"/>
    <w:rsid w:val="001A5BAE"/>
    <w:rsid w:val="001C1B18"/>
    <w:rsid w:val="001C422D"/>
    <w:rsid w:val="001E63AF"/>
    <w:rsid w:val="002113CB"/>
    <w:rsid w:val="00226707"/>
    <w:rsid w:val="002A23BD"/>
    <w:rsid w:val="002B1D1A"/>
    <w:rsid w:val="002D3CBF"/>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B3796"/>
    <w:rsid w:val="004C75FC"/>
    <w:rsid w:val="004E0882"/>
    <w:rsid w:val="004E5EB8"/>
    <w:rsid w:val="004F5444"/>
    <w:rsid w:val="005045D2"/>
    <w:rsid w:val="00507C48"/>
    <w:rsid w:val="005200D1"/>
    <w:rsid w:val="0053433D"/>
    <w:rsid w:val="005434FE"/>
    <w:rsid w:val="00551162"/>
    <w:rsid w:val="005718DB"/>
    <w:rsid w:val="00575C10"/>
    <w:rsid w:val="00587F2B"/>
    <w:rsid w:val="0059189B"/>
    <w:rsid w:val="005A2644"/>
    <w:rsid w:val="005B42EC"/>
    <w:rsid w:val="005B5332"/>
    <w:rsid w:val="005B7C7B"/>
    <w:rsid w:val="005C3D54"/>
    <w:rsid w:val="005D634A"/>
    <w:rsid w:val="005D6DBA"/>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348B9"/>
    <w:rsid w:val="007449CB"/>
    <w:rsid w:val="00765C13"/>
    <w:rsid w:val="0077221E"/>
    <w:rsid w:val="007A03A2"/>
    <w:rsid w:val="007A59DA"/>
    <w:rsid w:val="007C0650"/>
    <w:rsid w:val="007C3D5E"/>
    <w:rsid w:val="007D1380"/>
    <w:rsid w:val="007E226A"/>
    <w:rsid w:val="007F493B"/>
    <w:rsid w:val="00802C15"/>
    <w:rsid w:val="00805270"/>
    <w:rsid w:val="0081158F"/>
    <w:rsid w:val="008320D6"/>
    <w:rsid w:val="00836E9B"/>
    <w:rsid w:val="00842BF2"/>
    <w:rsid w:val="00845C43"/>
    <w:rsid w:val="0085035B"/>
    <w:rsid w:val="00876BAD"/>
    <w:rsid w:val="008A3377"/>
    <w:rsid w:val="008B4A50"/>
    <w:rsid w:val="008D15DF"/>
    <w:rsid w:val="008D7B76"/>
    <w:rsid w:val="008E4CA9"/>
    <w:rsid w:val="008F6720"/>
    <w:rsid w:val="00904FE8"/>
    <w:rsid w:val="00906D58"/>
    <w:rsid w:val="009130F8"/>
    <w:rsid w:val="00913331"/>
    <w:rsid w:val="00973649"/>
    <w:rsid w:val="009741B9"/>
    <w:rsid w:val="00976AB2"/>
    <w:rsid w:val="009817FB"/>
    <w:rsid w:val="00993BDC"/>
    <w:rsid w:val="009A564A"/>
    <w:rsid w:val="009A674B"/>
    <w:rsid w:val="009D056B"/>
    <w:rsid w:val="009E1C82"/>
    <w:rsid w:val="009E4C37"/>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46C25"/>
    <w:rsid w:val="00C50AAB"/>
    <w:rsid w:val="00C72F34"/>
    <w:rsid w:val="00C85FF4"/>
    <w:rsid w:val="00C93AC3"/>
    <w:rsid w:val="00CB13ED"/>
    <w:rsid w:val="00CB5A3C"/>
    <w:rsid w:val="00CC48B1"/>
    <w:rsid w:val="00CE3B6F"/>
    <w:rsid w:val="00D3080D"/>
    <w:rsid w:val="00D36812"/>
    <w:rsid w:val="00D82ACC"/>
    <w:rsid w:val="00D970C6"/>
    <w:rsid w:val="00DA1D61"/>
    <w:rsid w:val="00DA36AF"/>
    <w:rsid w:val="00DF4473"/>
    <w:rsid w:val="00E06EF7"/>
    <w:rsid w:val="00E4045F"/>
    <w:rsid w:val="00E75138"/>
    <w:rsid w:val="00E84649"/>
    <w:rsid w:val="00E90970"/>
    <w:rsid w:val="00EA210F"/>
    <w:rsid w:val="00EF0D7E"/>
    <w:rsid w:val="00F00A67"/>
    <w:rsid w:val="00F155F6"/>
    <w:rsid w:val="00F17680"/>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7D0091-AF74-405B-9503-89BD7FB2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6</cp:revision>
  <cp:lastPrinted>2024-03-21T13:11:00Z</cp:lastPrinted>
  <dcterms:created xsi:type="dcterms:W3CDTF">2025-01-08T08:46:00Z</dcterms:created>
  <dcterms:modified xsi:type="dcterms:W3CDTF">2026-01-23T12:40:00Z</dcterms:modified>
</cp:coreProperties>
</file>