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AB2539">
        <w:rPr>
          <w:rStyle w:val="FontStyle11"/>
          <w:u w:val="single"/>
          <w:lang w:val="uk-UA" w:eastAsia="uk-UA"/>
        </w:rPr>
        <w:t>1</w:t>
      </w:r>
      <w:r w:rsidR="00576B9C">
        <w:rPr>
          <w:rStyle w:val="FontStyle11"/>
          <w:u w:val="single"/>
          <w:lang w:val="uk-UA" w:eastAsia="uk-UA"/>
        </w:rPr>
        <w:t>5</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8C7E2B" w:rsidRPr="008C7E2B" w:rsidRDefault="008C7E2B" w:rsidP="008C7E2B">
      <w:pPr>
        <w:pStyle w:val="Style3"/>
        <w:widowControl/>
        <w:spacing w:before="72"/>
        <w:rPr>
          <w:rStyle w:val="FontStyle11"/>
          <w:b w:val="0"/>
          <w:u w:val="single"/>
          <w:lang w:val="uk-UA" w:eastAsia="uk-UA"/>
        </w:rPr>
      </w:pPr>
      <w:r w:rsidRPr="008C7E2B">
        <w:rPr>
          <w:rStyle w:val="FontStyle11"/>
          <w:b w:val="0"/>
          <w:lang w:val="uk-UA" w:eastAsia="uk-UA"/>
        </w:rPr>
        <w:t>(</w:t>
      </w:r>
      <w:r w:rsidRPr="008C7E2B">
        <w:rPr>
          <w:sz w:val="22"/>
          <w:szCs w:val="22"/>
          <w:lang w:val="uk-UA" w:eastAsia="uk-UA"/>
        </w:rPr>
        <w:t>Оплата по факту, послуги з розподілу сплачуються Споживачем самостійно</w:t>
      </w:r>
      <w:r w:rsidRPr="008C7E2B">
        <w:rPr>
          <w:rStyle w:val="FontStyle11"/>
          <w:b w:val="0"/>
          <w:lang w:val="uk-UA" w:eastAsia="uk-UA"/>
        </w:rPr>
        <w:t>)</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840AAF">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64026F" w:rsidRDefault="00C54AAF" w:rsidP="00840AAF">
            <w:pPr>
              <w:tabs>
                <w:tab w:val="left" w:pos="255"/>
                <w:tab w:val="center" w:pos="3668"/>
              </w:tabs>
              <w:jc w:val="both"/>
              <w:rPr>
                <w:lang w:val="uk-UA" w:eastAsia="uk-UA"/>
              </w:rPr>
            </w:pPr>
            <w:r w:rsidRPr="00C54AAF">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Pr>
                <w:rStyle w:val="FontStyle12"/>
                <w:lang w:val="uk-UA"/>
              </w:rPr>
              <w:t xml:space="preserve">одажу електроенергії, становить </w:t>
            </w:r>
            <w:r w:rsidR="00840AAF">
              <w:rPr>
                <w:rStyle w:val="FontStyle12"/>
                <w:b/>
                <w:lang w:val="uk-UA"/>
              </w:rPr>
              <w:t>21,30</w:t>
            </w:r>
            <w:r w:rsidRPr="00C54AAF">
              <w:rPr>
                <w:rStyle w:val="FontStyle12"/>
                <w:b/>
                <w:lang w:val="uk-UA"/>
              </w:rPr>
              <w:t xml:space="preserve"> грн, з ПДВ,</w:t>
            </w:r>
            <w:r w:rsidRPr="00C54AAF">
              <w:rPr>
                <w:rStyle w:val="FontStyle12"/>
                <w:lang w:val="uk-UA"/>
              </w:rPr>
              <w:t xml:space="preserve"> в тому числі ПДВ </w:t>
            </w:r>
            <w:r w:rsidR="00840AAF">
              <w:rPr>
                <w:rStyle w:val="FontStyle12"/>
                <w:lang w:val="uk-UA"/>
              </w:rPr>
              <w:t>3,55</w:t>
            </w:r>
            <w:r w:rsidRPr="00C54AAF">
              <w:rPr>
                <w:rStyle w:val="FontStyle12"/>
                <w:lang w:val="uk-UA"/>
              </w:rPr>
              <w:t xml:space="preserve"> грн., за 1 кВт*год.</w:t>
            </w:r>
          </w:p>
        </w:tc>
      </w:tr>
      <w:tr w:rsidR="002F378D" w:rsidRPr="00840AAF">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840AAF">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A94B47" w:rsidRPr="000828D1" w:rsidRDefault="00576B9C" w:rsidP="00D104C4">
            <w:pPr>
              <w:pStyle w:val="Style1"/>
              <w:widowControl/>
              <w:spacing w:line="274" w:lineRule="exact"/>
              <w:rPr>
                <w:rStyle w:val="FontStyle12"/>
                <w:lang w:val="uk-UA" w:eastAsia="uk-UA"/>
              </w:rPr>
            </w:pPr>
            <w:r w:rsidRPr="00576B9C">
              <w:rPr>
                <w:sz w:val="22"/>
                <w:szCs w:val="22"/>
                <w:lang w:val="uk-UA" w:eastAsia="uk-UA"/>
              </w:rPr>
              <w:t>Оплата електричної енергії, у тому числі за послугу з розподілу, здійснюється споживачем у формі повної оплати вартості обсягу спожитої (розподіленої) електричної енергії один раз за фактичними показами засобів комерційного обліку електричної енергії отриманими Постачальником від Оператора системи розподілу.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r w:rsidRPr="000828D1">
              <w:rPr>
                <w:rFonts w:eastAsia="Times New Roman"/>
                <w:color w:val="000000"/>
                <w:sz w:val="22"/>
                <w:szCs w:val="22"/>
              </w:rPr>
              <w:t xml:space="preserve">Рахунок надається споживачу не пізніше десятого робочого дня </w:t>
            </w:r>
            <w:r w:rsidRPr="000828D1">
              <w:rPr>
                <w:rFonts w:eastAsia="Times New Roman"/>
                <w:color w:val="000000"/>
                <w:sz w:val="22"/>
                <w:szCs w:val="22"/>
                <w:lang w:val="uk-UA"/>
              </w:rPr>
              <w:t>місяця, наступного за рохзрахунковим.</w:t>
            </w:r>
          </w:p>
          <w:p w:rsidR="00642A82" w:rsidRPr="000828D1" w:rsidRDefault="00A2682A" w:rsidP="00642A82">
            <w:r>
              <w:rPr>
                <w:rFonts w:eastAsia="Times New Roman"/>
                <w:color w:val="000000"/>
                <w:sz w:val="22"/>
                <w:szCs w:val="22"/>
              </w:rPr>
              <w:t>Оплата рахунку</w:t>
            </w:r>
            <w:r w:rsidR="00642A82" w:rsidRPr="000828D1">
              <w:rPr>
                <w:rFonts w:eastAsia="Times New Roman"/>
                <w:color w:val="000000"/>
                <w:sz w:val="22"/>
                <w:szCs w:val="22"/>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42A82" w:rsidRPr="00840AAF">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 xml:space="preserve">Розмір компенсації Споживачу за недодержання Постачальником </w:t>
            </w:r>
            <w:r w:rsidRPr="000828D1">
              <w:rPr>
                <w:rStyle w:val="FontStyle11"/>
                <w:lang w:val="uk-UA" w:eastAsia="uk-UA"/>
              </w:rPr>
              <w:lastRenderedPageBreak/>
              <w:t>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AB2539">
              <w:rPr>
                <w:rStyle w:val="FontStyle11"/>
                <w:lang w:val="uk-UA" w:eastAsia="uk-UA"/>
              </w:rPr>
              <w:t>1</w:t>
            </w:r>
            <w:r w:rsidR="00576B9C">
              <w:rPr>
                <w:rStyle w:val="FontStyle11"/>
                <w:lang w:val="uk-UA" w:eastAsia="uk-UA"/>
              </w:rPr>
              <w:t>5</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w:t>
            </w:r>
            <w:bookmarkStart w:id="0" w:name="_GoBack"/>
            <w:bookmarkEnd w:id="0"/>
            <w:r w:rsidRPr="000828D1">
              <w:rPr>
                <w:sz w:val="22"/>
                <w:szCs w:val="22"/>
                <w:lang w:val="uk-UA"/>
              </w:rPr>
              <w:t xml:space="preserve">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576B9C" w:rsidP="00832B6A">
            <w:pPr>
              <w:pStyle w:val="Style7"/>
              <w:widowControl/>
              <w:spacing w:line="274" w:lineRule="exact"/>
              <w:ind w:left="10" w:hanging="7"/>
              <w:jc w:val="both"/>
              <w:rPr>
                <w:rStyle w:val="FontStyle12"/>
                <w:lang w:val="uk-UA" w:eastAsia="uk-UA"/>
              </w:rPr>
            </w:pPr>
            <w:r w:rsidRPr="00FE1E0A">
              <w:rPr>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r w:rsidRPr="000828D1">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через особистий кабінет на своєму офіційному сайті у мережі Інтернет,</w:t>
            </w:r>
          </w:p>
          <w:p w:rsidR="00642A82" w:rsidRPr="000828D1" w:rsidRDefault="00642A82" w:rsidP="00642A82">
            <w:pPr>
              <w:jc w:val="both"/>
            </w:pPr>
            <w:r w:rsidRPr="000828D1">
              <w:rPr>
                <w:sz w:val="22"/>
                <w:szCs w:val="22"/>
              </w:rPr>
              <w:t xml:space="preserve">-засобами електронного зв'язку на електронну адресу, вказану у заяві-приєднання до умов договору, </w:t>
            </w:r>
          </w:p>
          <w:p w:rsidR="00642A82" w:rsidRPr="000828D1" w:rsidRDefault="00642A82" w:rsidP="00642A82">
            <w:pPr>
              <w:jc w:val="both"/>
            </w:pPr>
            <w:r w:rsidRPr="000828D1">
              <w:rPr>
                <w:sz w:val="22"/>
                <w:szCs w:val="22"/>
              </w:rPr>
              <w:t xml:space="preserve">- на поштову адресу місця реєстрації юридичної особи, </w:t>
            </w:r>
          </w:p>
          <w:p w:rsidR="00642A82" w:rsidRPr="000828D1" w:rsidRDefault="00642A82" w:rsidP="00642A82">
            <w:pPr>
              <w:jc w:val="both"/>
            </w:pPr>
            <w:r w:rsidRPr="000828D1">
              <w:rPr>
                <w:sz w:val="22"/>
                <w:szCs w:val="22"/>
              </w:rPr>
              <w:t xml:space="preserve">-СМС-повідомленням на номер, зазначений у заяві-приєднання до умов договору, </w:t>
            </w:r>
          </w:p>
          <w:p w:rsidR="00642A82" w:rsidRPr="000828D1" w:rsidRDefault="00642A82" w:rsidP="00642A82">
            <w:pPr>
              <w:jc w:val="both"/>
            </w:pPr>
            <w:r w:rsidRPr="000828D1">
              <w:rPr>
                <w:sz w:val="22"/>
                <w:szCs w:val="22"/>
              </w:rPr>
              <w:t>-в центрах обслуговування споживачів.</w:t>
            </w:r>
          </w:p>
          <w:p w:rsidR="00642A82" w:rsidRPr="000828D1" w:rsidRDefault="00642A82" w:rsidP="00642A82">
            <w:pPr>
              <w:jc w:val="both"/>
            </w:pPr>
            <w:r w:rsidRPr="000828D1">
              <w:rPr>
                <w:sz w:val="22"/>
                <w:szCs w:val="22"/>
              </w:rPr>
              <w:lastRenderedPageBreak/>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firstRow="0" w:lastRow="0" w:firstColumn="0" w:lastColumn="0" w:noHBand="0" w:noVBand="0"/>
      </w:tblPr>
      <w:tblGrid>
        <w:gridCol w:w="4875"/>
        <w:gridCol w:w="236"/>
        <w:gridCol w:w="4815"/>
      </w:tblGrid>
      <w:tr w:rsidR="002F378D" w:rsidRPr="000828D1" w:rsidTr="004373BD">
        <w:trPr>
          <w:trHeight w:val="305"/>
        </w:trPr>
        <w:tc>
          <w:tcPr>
            <w:tcW w:w="4875" w:type="dxa"/>
          </w:tcPr>
          <w:p w:rsidR="002F378D" w:rsidRDefault="007F435B">
            <w:pPr>
              <w:rPr>
                <w:b/>
                <w:bCs/>
                <w:lang w:val="uk-UA"/>
              </w:rPr>
            </w:pPr>
            <w:r w:rsidRPr="000828D1">
              <w:rPr>
                <w:b/>
                <w:bCs/>
                <w:sz w:val="22"/>
                <w:szCs w:val="22"/>
              </w:rPr>
              <w:t>Постачальник</w:t>
            </w:r>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828D1"/>
    <w:rsid w:val="0008384A"/>
    <w:rsid w:val="00152A18"/>
    <w:rsid w:val="001E7D2B"/>
    <w:rsid w:val="001F2936"/>
    <w:rsid w:val="00216747"/>
    <w:rsid w:val="0027489D"/>
    <w:rsid w:val="002A005A"/>
    <w:rsid w:val="002E03AA"/>
    <w:rsid w:val="002E759E"/>
    <w:rsid w:val="002F378D"/>
    <w:rsid w:val="00392494"/>
    <w:rsid w:val="00393DB4"/>
    <w:rsid w:val="003D2A6B"/>
    <w:rsid w:val="003E2717"/>
    <w:rsid w:val="00430BD6"/>
    <w:rsid w:val="004373BD"/>
    <w:rsid w:val="004D7FF9"/>
    <w:rsid w:val="005406AA"/>
    <w:rsid w:val="00555255"/>
    <w:rsid w:val="00576B9C"/>
    <w:rsid w:val="0064026F"/>
    <w:rsid w:val="00642A82"/>
    <w:rsid w:val="00686071"/>
    <w:rsid w:val="006C2B4C"/>
    <w:rsid w:val="006E5572"/>
    <w:rsid w:val="00753191"/>
    <w:rsid w:val="00763F4A"/>
    <w:rsid w:val="007F435B"/>
    <w:rsid w:val="00822CD9"/>
    <w:rsid w:val="00832B6A"/>
    <w:rsid w:val="00840AAF"/>
    <w:rsid w:val="008454F7"/>
    <w:rsid w:val="008A7FF6"/>
    <w:rsid w:val="008C7E2B"/>
    <w:rsid w:val="008E4389"/>
    <w:rsid w:val="009038E8"/>
    <w:rsid w:val="009255D6"/>
    <w:rsid w:val="0097144D"/>
    <w:rsid w:val="00993181"/>
    <w:rsid w:val="00A03DC8"/>
    <w:rsid w:val="00A2682A"/>
    <w:rsid w:val="00A61FE4"/>
    <w:rsid w:val="00A9478B"/>
    <w:rsid w:val="00A94B47"/>
    <w:rsid w:val="00AB2539"/>
    <w:rsid w:val="00AE6460"/>
    <w:rsid w:val="00B25955"/>
    <w:rsid w:val="00C0077E"/>
    <w:rsid w:val="00C54AAF"/>
    <w:rsid w:val="00D104C4"/>
    <w:rsid w:val="00D91E8E"/>
    <w:rsid w:val="00EC5022"/>
    <w:rsid w:val="00F03DB4"/>
    <w:rsid w:val="00F077AB"/>
    <w:rsid w:val="00F229C0"/>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5364B-87DE-444D-88B2-D1B3D4EF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6105</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7</cp:revision>
  <dcterms:created xsi:type="dcterms:W3CDTF">2025-03-12T12:54:00Z</dcterms:created>
  <dcterms:modified xsi:type="dcterms:W3CDTF">2026-01-23T12:36:00Z</dcterms:modified>
</cp:coreProperties>
</file>